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1EC" w:rsidRPr="00900101" w:rsidRDefault="006F01EC" w:rsidP="006F01EC">
      <w:pPr>
        <w:spacing w:line="480" w:lineRule="auto"/>
        <w:jc w:val="both"/>
        <w:rPr>
          <w:rFonts w:ascii="Times New Roman" w:hAnsi="Times New Roman" w:cs="Times New Roman"/>
          <w:sz w:val="24"/>
          <w:szCs w:val="24"/>
        </w:rPr>
      </w:pPr>
    </w:p>
    <w:p w:rsidR="006F01EC" w:rsidRPr="00900101" w:rsidRDefault="006F01EC" w:rsidP="006F01EC">
      <w:pPr>
        <w:spacing w:line="480" w:lineRule="auto"/>
        <w:jc w:val="both"/>
        <w:rPr>
          <w:rFonts w:ascii="Times New Roman" w:hAnsi="Times New Roman" w:cs="Times New Roman"/>
          <w:sz w:val="24"/>
          <w:szCs w:val="24"/>
        </w:rPr>
      </w:pPr>
    </w:p>
    <w:p w:rsidR="006F01EC" w:rsidRPr="00900101" w:rsidRDefault="006F01EC" w:rsidP="006F01EC">
      <w:pPr>
        <w:spacing w:line="480" w:lineRule="auto"/>
        <w:jc w:val="both"/>
        <w:rPr>
          <w:rFonts w:ascii="Times New Roman" w:hAnsi="Times New Roman" w:cs="Times New Roman"/>
          <w:sz w:val="24"/>
          <w:szCs w:val="24"/>
        </w:rPr>
      </w:pPr>
    </w:p>
    <w:p w:rsidR="006F01EC" w:rsidRPr="00900101" w:rsidRDefault="006F01EC" w:rsidP="006F01EC">
      <w:pPr>
        <w:spacing w:line="480" w:lineRule="auto"/>
        <w:jc w:val="both"/>
        <w:rPr>
          <w:rFonts w:ascii="Times New Roman" w:hAnsi="Times New Roman" w:cs="Times New Roman"/>
          <w:sz w:val="24"/>
          <w:szCs w:val="24"/>
        </w:rPr>
      </w:pPr>
    </w:p>
    <w:p w:rsidR="006F01EC" w:rsidRPr="00900101" w:rsidRDefault="00B2423E" w:rsidP="006F01EC">
      <w:pPr>
        <w:spacing w:line="480" w:lineRule="auto"/>
        <w:jc w:val="center"/>
        <w:rPr>
          <w:rFonts w:ascii="Times New Roman" w:hAnsi="Times New Roman" w:cs="Times New Roman"/>
          <w:b/>
          <w:sz w:val="24"/>
          <w:szCs w:val="24"/>
        </w:rPr>
      </w:pPr>
      <w:r w:rsidRPr="00900101">
        <w:rPr>
          <w:rFonts w:ascii="Times New Roman" w:hAnsi="Times New Roman" w:cs="Times New Roman"/>
          <w:b/>
          <w:sz w:val="24"/>
          <w:szCs w:val="24"/>
        </w:rPr>
        <w:t>Religious View of Death</w:t>
      </w:r>
    </w:p>
    <w:p w:rsidR="006F01EC" w:rsidRPr="00900101" w:rsidRDefault="006F01EC" w:rsidP="006F01EC">
      <w:pPr>
        <w:spacing w:line="480" w:lineRule="auto"/>
        <w:jc w:val="center"/>
        <w:rPr>
          <w:rFonts w:ascii="Times New Roman" w:hAnsi="Times New Roman" w:cs="Times New Roman"/>
          <w:sz w:val="24"/>
          <w:szCs w:val="24"/>
        </w:rPr>
      </w:pPr>
    </w:p>
    <w:p w:rsidR="006F01EC" w:rsidRPr="00900101" w:rsidRDefault="00B2423E" w:rsidP="006F01EC">
      <w:pPr>
        <w:spacing w:line="480" w:lineRule="auto"/>
        <w:jc w:val="center"/>
        <w:rPr>
          <w:rFonts w:ascii="Times New Roman" w:hAnsi="Times New Roman" w:cs="Times New Roman"/>
          <w:sz w:val="24"/>
          <w:szCs w:val="24"/>
        </w:rPr>
      </w:pPr>
      <w:r w:rsidRPr="00900101">
        <w:rPr>
          <w:rFonts w:ascii="Times New Roman" w:hAnsi="Times New Roman" w:cs="Times New Roman"/>
          <w:sz w:val="24"/>
          <w:szCs w:val="24"/>
        </w:rPr>
        <w:t>Students Name</w:t>
      </w:r>
    </w:p>
    <w:p w:rsidR="006F01EC" w:rsidRPr="00900101" w:rsidRDefault="00B2423E" w:rsidP="006F01EC">
      <w:pPr>
        <w:spacing w:line="480" w:lineRule="auto"/>
        <w:jc w:val="center"/>
        <w:rPr>
          <w:rFonts w:ascii="Times New Roman" w:hAnsi="Times New Roman" w:cs="Times New Roman"/>
          <w:sz w:val="24"/>
          <w:szCs w:val="24"/>
        </w:rPr>
      </w:pPr>
      <w:r w:rsidRPr="00900101">
        <w:rPr>
          <w:rFonts w:ascii="Times New Roman" w:hAnsi="Times New Roman" w:cs="Times New Roman"/>
          <w:sz w:val="24"/>
          <w:szCs w:val="24"/>
        </w:rPr>
        <w:t>Institution Affiliation</w:t>
      </w:r>
    </w:p>
    <w:p w:rsidR="006F01EC" w:rsidRPr="00900101" w:rsidRDefault="00B2423E" w:rsidP="006F01EC">
      <w:pPr>
        <w:spacing w:line="480" w:lineRule="auto"/>
        <w:jc w:val="center"/>
        <w:rPr>
          <w:rFonts w:ascii="Times New Roman" w:hAnsi="Times New Roman" w:cs="Times New Roman"/>
          <w:sz w:val="24"/>
          <w:szCs w:val="24"/>
        </w:rPr>
      </w:pPr>
      <w:r w:rsidRPr="00900101">
        <w:rPr>
          <w:rFonts w:ascii="Times New Roman" w:hAnsi="Times New Roman" w:cs="Times New Roman"/>
          <w:sz w:val="24"/>
          <w:szCs w:val="24"/>
        </w:rPr>
        <w:t>Course</w:t>
      </w:r>
    </w:p>
    <w:p w:rsidR="006F01EC" w:rsidRPr="00900101" w:rsidRDefault="00B2423E" w:rsidP="006F01EC">
      <w:pPr>
        <w:spacing w:line="480" w:lineRule="auto"/>
        <w:jc w:val="center"/>
        <w:rPr>
          <w:rFonts w:ascii="Times New Roman" w:hAnsi="Times New Roman" w:cs="Times New Roman"/>
          <w:sz w:val="24"/>
          <w:szCs w:val="24"/>
        </w:rPr>
      </w:pPr>
      <w:r w:rsidRPr="00900101">
        <w:rPr>
          <w:rFonts w:ascii="Times New Roman" w:hAnsi="Times New Roman" w:cs="Times New Roman"/>
          <w:sz w:val="24"/>
          <w:szCs w:val="24"/>
        </w:rPr>
        <w:t>Instructors Name</w:t>
      </w:r>
    </w:p>
    <w:p w:rsidR="006F01EC" w:rsidRPr="00900101" w:rsidRDefault="00B2423E" w:rsidP="006F01EC">
      <w:pPr>
        <w:spacing w:line="480" w:lineRule="auto"/>
        <w:jc w:val="center"/>
        <w:rPr>
          <w:rFonts w:ascii="Times New Roman" w:hAnsi="Times New Roman" w:cs="Times New Roman"/>
          <w:sz w:val="24"/>
          <w:szCs w:val="24"/>
        </w:rPr>
      </w:pPr>
      <w:r w:rsidRPr="00900101">
        <w:rPr>
          <w:rFonts w:ascii="Times New Roman" w:hAnsi="Times New Roman" w:cs="Times New Roman"/>
          <w:sz w:val="24"/>
          <w:szCs w:val="24"/>
        </w:rPr>
        <w:t>Date</w:t>
      </w:r>
    </w:p>
    <w:p w:rsidR="006F01EC" w:rsidRPr="00900101" w:rsidRDefault="006F01EC" w:rsidP="006F01EC">
      <w:pPr>
        <w:spacing w:line="480" w:lineRule="auto"/>
        <w:jc w:val="both"/>
        <w:rPr>
          <w:rFonts w:ascii="Times New Roman" w:hAnsi="Times New Roman" w:cs="Times New Roman"/>
          <w:sz w:val="24"/>
          <w:szCs w:val="24"/>
        </w:rPr>
      </w:pPr>
    </w:p>
    <w:p w:rsidR="006F01EC" w:rsidRPr="00900101" w:rsidRDefault="00B2423E">
      <w:pPr>
        <w:rPr>
          <w:rFonts w:ascii="Times New Roman" w:hAnsi="Times New Roman" w:cs="Times New Roman"/>
          <w:sz w:val="24"/>
          <w:szCs w:val="24"/>
        </w:rPr>
      </w:pPr>
      <w:r w:rsidRPr="00900101">
        <w:rPr>
          <w:rFonts w:ascii="Times New Roman" w:hAnsi="Times New Roman" w:cs="Times New Roman"/>
          <w:sz w:val="24"/>
          <w:szCs w:val="24"/>
        </w:rPr>
        <w:br w:type="page"/>
      </w:r>
    </w:p>
    <w:p w:rsidR="006F01EC" w:rsidRPr="00900101" w:rsidRDefault="00B2423E" w:rsidP="006F01EC">
      <w:pPr>
        <w:spacing w:line="480" w:lineRule="auto"/>
        <w:jc w:val="center"/>
        <w:rPr>
          <w:rFonts w:ascii="Times New Roman" w:hAnsi="Times New Roman" w:cs="Times New Roman"/>
          <w:b/>
          <w:sz w:val="24"/>
          <w:szCs w:val="24"/>
        </w:rPr>
      </w:pPr>
      <w:r w:rsidRPr="00900101">
        <w:rPr>
          <w:rFonts w:ascii="Times New Roman" w:hAnsi="Times New Roman" w:cs="Times New Roman"/>
          <w:b/>
          <w:sz w:val="24"/>
          <w:szCs w:val="24"/>
        </w:rPr>
        <w:lastRenderedPageBreak/>
        <w:t>Religious View of Suffering, Death, and Afterlife</w:t>
      </w:r>
    </w:p>
    <w:p w:rsidR="006F01EC" w:rsidRPr="00900101" w:rsidRDefault="00B2423E" w:rsidP="006F01EC">
      <w:pPr>
        <w:spacing w:line="480" w:lineRule="auto"/>
        <w:jc w:val="both"/>
        <w:rPr>
          <w:rFonts w:ascii="Times New Roman" w:hAnsi="Times New Roman" w:cs="Times New Roman"/>
          <w:sz w:val="24"/>
          <w:szCs w:val="24"/>
        </w:rPr>
      </w:pPr>
      <w:r w:rsidRPr="00900101">
        <w:rPr>
          <w:rFonts w:ascii="Times New Roman" w:hAnsi="Times New Roman" w:cs="Times New Roman"/>
          <w:sz w:val="24"/>
          <w:szCs w:val="24"/>
        </w:rPr>
        <w:t xml:space="preserve"> </w:t>
      </w:r>
      <w:r w:rsidRPr="00900101">
        <w:rPr>
          <w:rFonts w:ascii="Times New Roman" w:hAnsi="Times New Roman" w:cs="Times New Roman"/>
          <w:sz w:val="24"/>
          <w:szCs w:val="24"/>
        </w:rPr>
        <w:tab/>
        <w:t>A near-death is a moment whereby individuals usually experience that sense of being detached from the physical world. Notably, experiences of near-death can be considered to be transpersonal because of the nature of transcending. Spirituality and religion are complicated but significant topics in the wake of loss. Additionally, religion could be incredible to comfort someone in a time of loss.  The different religious families have different perspectives on suffering, death, and the afterlife. However, some religious beliefs have similarities in the concepts of suffering and life after death. Religions families in the world involve group practices associated with the same spiritual beliefs. To comfort my dying aunt, I will discuss similarities and differences between Christianity and Islamic perspectives of suffering, death, and after-life in this letter.</w:t>
      </w:r>
    </w:p>
    <w:p w:rsidR="006F01EC" w:rsidRPr="00900101" w:rsidRDefault="00B2423E" w:rsidP="006F01EC">
      <w:pPr>
        <w:spacing w:line="480" w:lineRule="auto"/>
        <w:jc w:val="center"/>
        <w:rPr>
          <w:rFonts w:ascii="Times New Roman" w:hAnsi="Times New Roman" w:cs="Times New Roman"/>
          <w:b/>
          <w:sz w:val="24"/>
          <w:szCs w:val="24"/>
        </w:rPr>
      </w:pPr>
      <w:r w:rsidRPr="00900101">
        <w:rPr>
          <w:rFonts w:ascii="Times New Roman" w:hAnsi="Times New Roman" w:cs="Times New Roman"/>
          <w:b/>
          <w:sz w:val="24"/>
          <w:szCs w:val="24"/>
        </w:rPr>
        <w:t>Similarities</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 xml:space="preserve"> In Islam, death is seen as one ending physical life and also the beginning of eternal spiritual life. Like Christianity, Islam has a significant view of life and is associated with a code of conduct that prepares the followers for an external afterlife (Zak, 2017). Islamic religion teaches that death is not the end of life, and life is divided into two significant parts. One part is life on earth, and another one is eternal, which comes after one dies. Similarly, Christians also believe in life after death. Christians believe in the return of Christ, where God will come to administer the divine judgment with justice and mercy, resulting in eternal damnation and salvation. According to </w:t>
      </w:r>
      <w:proofErr w:type="spellStart"/>
      <w:r w:rsidRPr="00900101">
        <w:rPr>
          <w:rFonts w:ascii="Times New Roman" w:hAnsi="Times New Roman" w:cs="Times New Roman"/>
          <w:sz w:val="24"/>
          <w:szCs w:val="24"/>
        </w:rPr>
        <w:t>Choudry</w:t>
      </w:r>
      <w:proofErr w:type="spellEnd"/>
      <w:r w:rsidRPr="00900101">
        <w:rPr>
          <w:rFonts w:ascii="Times New Roman" w:hAnsi="Times New Roman" w:cs="Times New Roman"/>
          <w:sz w:val="24"/>
          <w:szCs w:val="24"/>
        </w:rPr>
        <w:t xml:space="preserve"> et al. (2018), Christians believe that death through crucifixion is a model of a good death by demo</w:t>
      </w:r>
      <w:r w:rsidR="00AB5376" w:rsidRPr="00900101">
        <w:rPr>
          <w:rFonts w:ascii="Times New Roman" w:hAnsi="Times New Roman" w:cs="Times New Roman"/>
          <w:sz w:val="24"/>
          <w:szCs w:val="24"/>
        </w:rPr>
        <w:t>nstrating acceptance of dying by</w:t>
      </w:r>
      <w:r w:rsidRPr="00900101">
        <w:rPr>
          <w:rFonts w:ascii="Times New Roman" w:hAnsi="Times New Roman" w:cs="Times New Roman"/>
          <w:sz w:val="24"/>
          <w:szCs w:val="24"/>
        </w:rPr>
        <w:t xml:space="preserve"> combining forgiveness and compassion.</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Both religions believe that human beings will have the Day of Judgment that will happen after death.  Am</w:t>
      </w:r>
      <w:r w:rsidR="00D43F9E" w:rsidRPr="00900101">
        <w:rPr>
          <w:rFonts w:ascii="Times New Roman" w:hAnsi="Times New Roman" w:cs="Times New Roman"/>
          <w:sz w:val="24"/>
          <w:szCs w:val="24"/>
        </w:rPr>
        <w:t>ong the Christians, the day determine</w:t>
      </w:r>
      <w:r w:rsidRPr="00900101">
        <w:rPr>
          <w:rFonts w:ascii="Times New Roman" w:hAnsi="Times New Roman" w:cs="Times New Roman"/>
          <w:sz w:val="24"/>
          <w:szCs w:val="24"/>
        </w:rPr>
        <w:t xml:space="preserve"> whether one </w:t>
      </w:r>
      <w:r w:rsidR="00D43F9E" w:rsidRPr="00900101">
        <w:rPr>
          <w:rFonts w:ascii="Times New Roman" w:hAnsi="Times New Roman" w:cs="Times New Roman"/>
          <w:sz w:val="24"/>
          <w:szCs w:val="24"/>
        </w:rPr>
        <w:t xml:space="preserve">goes </w:t>
      </w:r>
      <w:r w:rsidRPr="00900101">
        <w:rPr>
          <w:rFonts w:ascii="Times New Roman" w:hAnsi="Times New Roman" w:cs="Times New Roman"/>
          <w:sz w:val="24"/>
          <w:szCs w:val="24"/>
        </w:rPr>
        <w:t xml:space="preserve">to heaven or hell for the </w:t>
      </w:r>
      <w:r w:rsidRPr="00900101">
        <w:rPr>
          <w:rFonts w:ascii="Times New Roman" w:hAnsi="Times New Roman" w:cs="Times New Roman"/>
          <w:sz w:val="24"/>
          <w:szCs w:val="24"/>
        </w:rPr>
        <w:lastRenderedPageBreak/>
        <w:t xml:space="preserve">rest </w:t>
      </w:r>
      <w:r w:rsidR="00D43F9E" w:rsidRPr="00900101">
        <w:rPr>
          <w:rFonts w:ascii="Times New Roman" w:hAnsi="Times New Roman" w:cs="Times New Roman"/>
          <w:sz w:val="24"/>
          <w:szCs w:val="24"/>
        </w:rPr>
        <w:t>of his eternal life</w:t>
      </w:r>
      <w:r w:rsidRPr="00900101">
        <w:rPr>
          <w:rFonts w:ascii="Times New Roman" w:hAnsi="Times New Roman" w:cs="Times New Roman"/>
          <w:sz w:val="24"/>
          <w:szCs w:val="24"/>
        </w:rPr>
        <w:t xml:space="preserve">. On the other hand, Muslims refer to life after death as </w:t>
      </w:r>
      <w:proofErr w:type="spellStart"/>
      <w:r w:rsidRPr="00900101">
        <w:rPr>
          <w:rFonts w:ascii="Times New Roman" w:hAnsi="Times New Roman" w:cs="Times New Roman"/>
          <w:sz w:val="24"/>
          <w:szCs w:val="24"/>
        </w:rPr>
        <w:t>Akhirah</w:t>
      </w:r>
      <w:proofErr w:type="spellEnd"/>
      <w:r w:rsidRPr="00900101">
        <w:rPr>
          <w:rFonts w:ascii="Times New Roman" w:hAnsi="Times New Roman" w:cs="Times New Roman"/>
          <w:sz w:val="24"/>
          <w:szCs w:val="24"/>
        </w:rPr>
        <w:t xml:space="preserve">, and according to their beliefs, they will stay in graves till the end of the world when the </w:t>
      </w:r>
      <w:r w:rsidR="00D43F9E" w:rsidRPr="00900101">
        <w:rPr>
          <w:rFonts w:ascii="Times New Roman" w:hAnsi="Times New Roman" w:cs="Times New Roman"/>
          <w:sz w:val="24"/>
          <w:szCs w:val="24"/>
        </w:rPr>
        <w:t>Day of Judgment</w:t>
      </w:r>
      <w:r w:rsidRPr="00900101">
        <w:rPr>
          <w:rFonts w:ascii="Times New Roman" w:hAnsi="Times New Roman" w:cs="Times New Roman"/>
          <w:sz w:val="24"/>
          <w:szCs w:val="24"/>
        </w:rPr>
        <w:t xml:space="preserve"> comes. It will come before Allah, and if one had a good life on earth will go to Jannah, and those who had a bad life will go to Jahannam.</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 xml:space="preserve"> When individuals suffer, both Christians and Muslims tend to search for answers like reasons behind suffering. In both regions</w:t>
      </w:r>
      <w:r w:rsidR="005F3E5B">
        <w:rPr>
          <w:rFonts w:ascii="Times New Roman" w:hAnsi="Times New Roman" w:cs="Times New Roman"/>
          <w:sz w:val="24"/>
          <w:szCs w:val="24"/>
        </w:rPr>
        <w:t>,</w:t>
      </w:r>
      <w:r w:rsidRPr="00900101">
        <w:rPr>
          <w:rFonts w:ascii="Times New Roman" w:hAnsi="Times New Roman" w:cs="Times New Roman"/>
          <w:sz w:val="24"/>
          <w:szCs w:val="24"/>
        </w:rPr>
        <w:t xml:space="preserve"> suffering is something that originates from most high, and thus it has a particular purpose. Additionally, in both religions, suffering is also seen as a reward for punishment.  Moreover, Muslims and Christians see suffering as divine for judgment. </w:t>
      </w:r>
      <w:r w:rsidR="00346B96" w:rsidRPr="00900101">
        <w:rPr>
          <w:rFonts w:ascii="Times New Roman" w:hAnsi="Times New Roman" w:cs="Times New Roman"/>
          <w:sz w:val="24"/>
          <w:szCs w:val="24"/>
        </w:rPr>
        <w:t>Therefore,</w:t>
      </w:r>
      <w:r w:rsidRPr="00900101">
        <w:rPr>
          <w:rFonts w:ascii="Times New Roman" w:hAnsi="Times New Roman" w:cs="Times New Roman"/>
          <w:sz w:val="24"/>
          <w:szCs w:val="24"/>
        </w:rPr>
        <w:t xml:space="preserve"> human beings must have done something wrong which displeases Go</w:t>
      </w:r>
      <w:r w:rsidR="00EE0D77" w:rsidRPr="00900101">
        <w:rPr>
          <w:rFonts w:ascii="Times New Roman" w:hAnsi="Times New Roman" w:cs="Times New Roman"/>
          <w:sz w:val="24"/>
          <w:szCs w:val="24"/>
        </w:rPr>
        <w:t>d, and the reward is punishment</w:t>
      </w:r>
      <w:r w:rsidR="00444D2B" w:rsidRPr="00900101">
        <w:rPr>
          <w:rFonts w:ascii="Times New Roman" w:hAnsi="Times New Roman" w:cs="Times New Roman"/>
          <w:sz w:val="24"/>
          <w:szCs w:val="24"/>
        </w:rPr>
        <w:t xml:space="preserve"> </w:t>
      </w:r>
      <w:r w:rsidR="00EE0D77" w:rsidRPr="00900101">
        <w:rPr>
          <w:rFonts w:ascii="Times New Roman" w:hAnsi="Times New Roman" w:cs="Times New Roman"/>
          <w:sz w:val="24"/>
          <w:szCs w:val="24"/>
        </w:rPr>
        <w:t>(Zak, 2017).</w:t>
      </w:r>
      <w:r w:rsidRPr="00900101">
        <w:rPr>
          <w:rFonts w:ascii="Times New Roman" w:hAnsi="Times New Roman" w:cs="Times New Roman"/>
          <w:sz w:val="24"/>
          <w:szCs w:val="24"/>
        </w:rPr>
        <w:t xml:space="preserve"> For example, to demonstrate an argument about suffering as immediate punishment for sins, the Quran usually refers to stories and past experiences. On the other hand, the bible has provided significant examples in the stories of Moses, Noah, and Pharaoh.</w:t>
      </w:r>
    </w:p>
    <w:p w:rsidR="006F01EC" w:rsidRPr="00900101" w:rsidRDefault="00B2423E" w:rsidP="006F01EC">
      <w:pPr>
        <w:spacing w:line="480" w:lineRule="auto"/>
        <w:jc w:val="center"/>
        <w:rPr>
          <w:rFonts w:ascii="Times New Roman" w:hAnsi="Times New Roman" w:cs="Times New Roman"/>
          <w:b/>
          <w:sz w:val="24"/>
          <w:szCs w:val="24"/>
        </w:rPr>
      </w:pPr>
      <w:r w:rsidRPr="00900101">
        <w:rPr>
          <w:rFonts w:ascii="Times New Roman" w:hAnsi="Times New Roman" w:cs="Times New Roman"/>
          <w:b/>
          <w:sz w:val="24"/>
          <w:szCs w:val="24"/>
        </w:rPr>
        <w:t>Differences</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From the I</w:t>
      </w:r>
      <w:r w:rsidR="00D43F9E" w:rsidRPr="00900101">
        <w:rPr>
          <w:rFonts w:ascii="Times New Roman" w:hAnsi="Times New Roman" w:cs="Times New Roman"/>
          <w:sz w:val="24"/>
          <w:szCs w:val="24"/>
        </w:rPr>
        <w:t>slamic perspective, human go</w:t>
      </w:r>
      <w:r w:rsidRPr="00900101">
        <w:rPr>
          <w:rFonts w:ascii="Times New Roman" w:hAnsi="Times New Roman" w:cs="Times New Roman"/>
          <w:sz w:val="24"/>
          <w:szCs w:val="24"/>
        </w:rPr>
        <w:t xml:space="preserve"> through three</w:t>
      </w:r>
      <w:r w:rsidR="00D43F9E" w:rsidRPr="00900101">
        <w:rPr>
          <w:rFonts w:ascii="Times New Roman" w:hAnsi="Times New Roman" w:cs="Times New Roman"/>
          <w:sz w:val="24"/>
          <w:szCs w:val="24"/>
        </w:rPr>
        <w:t xml:space="preserve"> significant stages</w:t>
      </w:r>
      <w:r w:rsidRPr="00900101">
        <w:rPr>
          <w:rFonts w:ascii="Times New Roman" w:hAnsi="Times New Roman" w:cs="Times New Roman"/>
          <w:sz w:val="24"/>
          <w:szCs w:val="24"/>
        </w:rPr>
        <w:t xml:space="preserve">: birth </w:t>
      </w:r>
      <w:r w:rsidR="00D43F9E" w:rsidRPr="00900101">
        <w:rPr>
          <w:rFonts w:ascii="Times New Roman" w:hAnsi="Times New Roman" w:cs="Times New Roman"/>
          <w:sz w:val="24"/>
          <w:szCs w:val="24"/>
        </w:rPr>
        <w:t xml:space="preserve">and life, demise and </w:t>
      </w:r>
      <w:proofErr w:type="spellStart"/>
      <w:r w:rsidR="00D43F9E" w:rsidRPr="00900101">
        <w:rPr>
          <w:rFonts w:ascii="Times New Roman" w:hAnsi="Times New Roman" w:cs="Times New Roman"/>
          <w:sz w:val="24"/>
          <w:szCs w:val="24"/>
        </w:rPr>
        <w:t>barzakh</w:t>
      </w:r>
      <w:proofErr w:type="spellEnd"/>
      <w:r w:rsidR="00D43F9E" w:rsidRPr="00900101">
        <w:rPr>
          <w:rFonts w:ascii="Times New Roman" w:hAnsi="Times New Roman" w:cs="Times New Roman"/>
          <w:sz w:val="24"/>
          <w:szCs w:val="24"/>
        </w:rPr>
        <w:t>, a period that starts when one dies to</w:t>
      </w:r>
      <w:r w:rsidRPr="00900101">
        <w:rPr>
          <w:rFonts w:ascii="Times New Roman" w:hAnsi="Times New Roman" w:cs="Times New Roman"/>
          <w:sz w:val="24"/>
          <w:szCs w:val="24"/>
        </w:rPr>
        <w:t xml:space="preserve"> resurrection, and the third reckoning</w:t>
      </w:r>
      <w:r w:rsidR="00D43F9E" w:rsidRPr="00900101">
        <w:rPr>
          <w:rFonts w:ascii="Times New Roman" w:hAnsi="Times New Roman" w:cs="Times New Roman"/>
          <w:sz w:val="24"/>
          <w:szCs w:val="24"/>
        </w:rPr>
        <w:t xml:space="preserve"> and resurrection</w:t>
      </w:r>
      <w:r w:rsidRPr="00900101">
        <w:rPr>
          <w:rFonts w:ascii="Times New Roman" w:hAnsi="Times New Roman" w:cs="Times New Roman"/>
          <w:sz w:val="24"/>
          <w:szCs w:val="24"/>
        </w:rPr>
        <w:t xml:space="preserve">. According to Muslims, when </w:t>
      </w:r>
      <w:r w:rsidR="00D43F9E" w:rsidRPr="00900101">
        <w:rPr>
          <w:rFonts w:ascii="Times New Roman" w:hAnsi="Times New Roman" w:cs="Times New Roman"/>
          <w:sz w:val="24"/>
          <w:szCs w:val="24"/>
        </w:rPr>
        <w:t>individuals</w:t>
      </w:r>
      <w:r w:rsidRPr="00900101">
        <w:rPr>
          <w:rFonts w:ascii="Times New Roman" w:hAnsi="Times New Roman" w:cs="Times New Roman"/>
          <w:sz w:val="24"/>
          <w:szCs w:val="24"/>
        </w:rPr>
        <w:t xml:space="preserve"> die, they are assumed to be in </w:t>
      </w:r>
      <w:r w:rsidR="00D43F9E" w:rsidRPr="00900101">
        <w:rPr>
          <w:rFonts w:ascii="Times New Roman" w:hAnsi="Times New Roman" w:cs="Times New Roman"/>
          <w:sz w:val="24"/>
          <w:szCs w:val="24"/>
        </w:rPr>
        <w:t>the intermediate</w:t>
      </w:r>
      <w:r w:rsidRPr="00900101">
        <w:rPr>
          <w:rFonts w:ascii="Times New Roman" w:hAnsi="Times New Roman" w:cs="Times New Roman"/>
          <w:sz w:val="24"/>
          <w:szCs w:val="24"/>
        </w:rPr>
        <w:t xml:space="preserve"> period.  When an individual is laid, they are questioned by two angels regarding religion. Once individuals die, they become closer to eternal paradise or hell (</w:t>
      </w:r>
      <w:proofErr w:type="spellStart"/>
      <w:r w:rsidRPr="00900101">
        <w:rPr>
          <w:rFonts w:ascii="Times New Roman" w:hAnsi="Times New Roman" w:cs="Times New Roman"/>
          <w:sz w:val="24"/>
          <w:szCs w:val="24"/>
        </w:rPr>
        <w:t>Elaskary</w:t>
      </w:r>
      <w:proofErr w:type="spellEnd"/>
      <w:r w:rsidRPr="00900101">
        <w:rPr>
          <w:rFonts w:ascii="Times New Roman" w:hAnsi="Times New Roman" w:cs="Times New Roman"/>
          <w:sz w:val="24"/>
          <w:szCs w:val="24"/>
        </w:rPr>
        <w:t xml:space="preserve"> &amp; Yun, 2017). On the other hand, Christians believe in eternal life, which is life after death. This life is personal and is fulfilled in the essence of humanity which is developed according to the image of God. Additionally, Christians also believe that life is a gift from God, and therefore one should be afraid of death since it is a must. Life is precious, and therefore, Christians believe that one should </w:t>
      </w:r>
      <w:r w:rsidRPr="00900101">
        <w:rPr>
          <w:rFonts w:ascii="Times New Roman" w:hAnsi="Times New Roman" w:cs="Times New Roman"/>
          <w:sz w:val="24"/>
          <w:szCs w:val="24"/>
        </w:rPr>
        <w:lastRenderedPageBreak/>
        <w:t>spend life on earth praising the glory of God's grace. Additionally, Christians believe that grave is an intermediary phase of one life and life after death.</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Muslims and Christians define suffering in different ways, and the</w:t>
      </w:r>
      <w:r w:rsidR="00D43F9E" w:rsidRPr="00900101">
        <w:rPr>
          <w:rFonts w:ascii="Times New Roman" w:hAnsi="Times New Roman" w:cs="Times New Roman"/>
          <w:sz w:val="24"/>
          <w:szCs w:val="24"/>
        </w:rPr>
        <w:t>refore, to indicate that Islamic religion</w:t>
      </w:r>
      <w:r w:rsidRPr="00900101">
        <w:rPr>
          <w:rFonts w:ascii="Times New Roman" w:hAnsi="Times New Roman" w:cs="Times New Roman"/>
          <w:sz w:val="24"/>
          <w:szCs w:val="24"/>
        </w:rPr>
        <w:t xml:space="preserve"> deal with suffering in </w:t>
      </w:r>
      <w:r w:rsidR="00D43F9E" w:rsidRPr="00900101">
        <w:rPr>
          <w:rFonts w:ascii="Times New Roman" w:hAnsi="Times New Roman" w:cs="Times New Roman"/>
          <w:sz w:val="24"/>
          <w:szCs w:val="24"/>
        </w:rPr>
        <w:t>expressive</w:t>
      </w:r>
      <w:r w:rsidRPr="00900101">
        <w:rPr>
          <w:rFonts w:ascii="Times New Roman" w:hAnsi="Times New Roman" w:cs="Times New Roman"/>
          <w:sz w:val="24"/>
          <w:szCs w:val="24"/>
        </w:rPr>
        <w:t xml:space="preserve"> ways </w:t>
      </w:r>
      <w:r w:rsidR="00D43F9E" w:rsidRPr="00900101">
        <w:rPr>
          <w:rFonts w:ascii="Times New Roman" w:hAnsi="Times New Roman" w:cs="Times New Roman"/>
          <w:sz w:val="24"/>
          <w:szCs w:val="24"/>
        </w:rPr>
        <w:t>is to invite misinterpretation</w:t>
      </w:r>
      <w:r w:rsidRPr="00900101">
        <w:rPr>
          <w:rFonts w:ascii="Times New Roman" w:hAnsi="Times New Roman" w:cs="Times New Roman"/>
          <w:sz w:val="24"/>
          <w:szCs w:val="24"/>
        </w:rPr>
        <w:t xml:space="preserve">. For example, Muslims do </w:t>
      </w:r>
      <w:r w:rsidR="00D43F9E" w:rsidRPr="00900101">
        <w:rPr>
          <w:rFonts w:ascii="Times New Roman" w:hAnsi="Times New Roman" w:cs="Times New Roman"/>
          <w:sz w:val="24"/>
          <w:szCs w:val="24"/>
        </w:rPr>
        <w:t xml:space="preserve">not necessarily </w:t>
      </w:r>
      <w:r w:rsidRPr="00900101">
        <w:rPr>
          <w:rFonts w:ascii="Times New Roman" w:hAnsi="Times New Roman" w:cs="Times New Roman"/>
          <w:sz w:val="24"/>
          <w:szCs w:val="24"/>
        </w:rPr>
        <w:t xml:space="preserve">suffer under certain </w:t>
      </w:r>
      <w:r w:rsidR="00D43F9E" w:rsidRPr="00900101">
        <w:rPr>
          <w:rFonts w:ascii="Times New Roman" w:hAnsi="Times New Roman" w:cs="Times New Roman"/>
          <w:sz w:val="24"/>
          <w:szCs w:val="24"/>
        </w:rPr>
        <w:t>conditions</w:t>
      </w:r>
      <w:r w:rsidRPr="00900101">
        <w:rPr>
          <w:rFonts w:ascii="Times New Roman" w:hAnsi="Times New Roman" w:cs="Times New Roman"/>
          <w:sz w:val="24"/>
          <w:szCs w:val="24"/>
        </w:rPr>
        <w:t xml:space="preserve"> like temptations. They speak suffering as part of the temptation of their will. On the other hand, Christians usually allow for random suffering since it postulates the world order in which God</w:t>
      </w:r>
      <w:r w:rsidR="00EE0D77" w:rsidRPr="00900101">
        <w:rPr>
          <w:rFonts w:ascii="Times New Roman" w:hAnsi="Times New Roman" w:cs="Times New Roman"/>
          <w:sz w:val="24"/>
          <w:szCs w:val="24"/>
        </w:rPr>
        <w:t xml:space="preserve"> allows sinfulness to distort</w:t>
      </w:r>
      <w:r w:rsidR="00C94590" w:rsidRPr="00900101">
        <w:rPr>
          <w:rFonts w:ascii="Times New Roman" w:hAnsi="Times New Roman" w:cs="Times New Roman"/>
          <w:sz w:val="24"/>
          <w:szCs w:val="24"/>
        </w:rPr>
        <w:t xml:space="preserve"> </w:t>
      </w:r>
      <w:r w:rsidR="00EE0D77" w:rsidRPr="00900101">
        <w:rPr>
          <w:rFonts w:ascii="Times New Roman" w:hAnsi="Times New Roman" w:cs="Times New Roman"/>
          <w:sz w:val="24"/>
          <w:szCs w:val="24"/>
        </w:rPr>
        <w:t>(</w:t>
      </w:r>
      <w:proofErr w:type="spellStart"/>
      <w:r w:rsidR="00EE0D77" w:rsidRPr="00900101">
        <w:rPr>
          <w:rFonts w:ascii="Times New Roman" w:hAnsi="Times New Roman" w:cs="Times New Roman"/>
          <w:sz w:val="24"/>
          <w:szCs w:val="24"/>
        </w:rPr>
        <w:t>Elaskary</w:t>
      </w:r>
      <w:proofErr w:type="spellEnd"/>
      <w:r w:rsidR="00EE0D77" w:rsidRPr="00900101">
        <w:rPr>
          <w:rFonts w:ascii="Times New Roman" w:hAnsi="Times New Roman" w:cs="Times New Roman"/>
          <w:sz w:val="24"/>
          <w:szCs w:val="24"/>
        </w:rPr>
        <w:t xml:space="preserve"> &amp; Yun, 2017)</w:t>
      </w:r>
      <w:r w:rsidR="00C94590" w:rsidRPr="00900101">
        <w:rPr>
          <w:rFonts w:ascii="Times New Roman" w:hAnsi="Times New Roman" w:cs="Times New Roman"/>
          <w:sz w:val="24"/>
          <w:szCs w:val="24"/>
        </w:rPr>
        <w:t>.</w:t>
      </w:r>
      <w:r w:rsidRPr="00900101">
        <w:rPr>
          <w:rFonts w:ascii="Times New Roman" w:hAnsi="Times New Roman" w:cs="Times New Roman"/>
          <w:sz w:val="24"/>
          <w:szCs w:val="24"/>
        </w:rPr>
        <w:t xml:space="preserve"> Notably, although the Christian bible supports instrumental suffering, it does not support </w:t>
      </w:r>
      <w:r w:rsidR="00D43F9E" w:rsidRPr="00900101">
        <w:rPr>
          <w:rFonts w:ascii="Times New Roman" w:hAnsi="Times New Roman" w:cs="Times New Roman"/>
          <w:sz w:val="24"/>
          <w:szCs w:val="24"/>
        </w:rPr>
        <w:t xml:space="preserve">the idea </w:t>
      </w:r>
      <w:r w:rsidRPr="00900101">
        <w:rPr>
          <w:rFonts w:ascii="Times New Roman" w:hAnsi="Times New Roman" w:cs="Times New Roman"/>
          <w:sz w:val="24"/>
          <w:szCs w:val="24"/>
        </w:rPr>
        <w:t>God himself causes suffering. However, a</w:t>
      </w:r>
      <w:r w:rsidR="00D43F9E" w:rsidRPr="00900101">
        <w:rPr>
          <w:rFonts w:ascii="Times New Roman" w:hAnsi="Times New Roman" w:cs="Times New Roman"/>
          <w:sz w:val="24"/>
          <w:szCs w:val="24"/>
        </w:rPr>
        <w:t xml:space="preserve">ccording to Islamic </w:t>
      </w:r>
      <w:r w:rsidR="001E23A6" w:rsidRPr="00900101">
        <w:rPr>
          <w:rFonts w:ascii="Times New Roman" w:hAnsi="Times New Roman" w:cs="Times New Roman"/>
          <w:sz w:val="24"/>
          <w:szCs w:val="24"/>
        </w:rPr>
        <w:t>Beliefs</w:t>
      </w:r>
      <w:r w:rsidR="001E23A6">
        <w:rPr>
          <w:rFonts w:ascii="Times New Roman" w:hAnsi="Times New Roman" w:cs="Times New Roman"/>
          <w:sz w:val="24"/>
          <w:szCs w:val="24"/>
        </w:rPr>
        <w:t xml:space="preserve">, </w:t>
      </w:r>
      <w:r w:rsidR="001E23A6" w:rsidRPr="00900101">
        <w:rPr>
          <w:rFonts w:ascii="Times New Roman" w:hAnsi="Times New Roman" w:cs="Times New Roman"/>
          <w:sz w:val="24"/>
          <w:szCs w:val="24"/>
        </w:rPr>
        <w:t>God’s</w:t>
      </w:r>
      <w:r w:rsidRPr="00900101">
        <w:rPr>
          <w:rFonts w:ascii="Times New Roman" w:hAnsi="Times New Roman" w:cs="Times New Roman"/>
          <w:sz w:val="24"/>
          <w:szCs w:val="24"/>
        </w:rPr>
        <w:t xml:space="preserve"> </w:t>
      </w:r>
      <w:r w:rsidR="00D43F9E" w:rsidRPr="00900101">
        <w:rPr>
          <w:rFonts w:ascii="Times New Roman" w:hAnsi="Times New Roman" w:cs="Times New Roman"/>
          <w:sz w:val="24"/>
          <w:szCs w:val="24"/>
        </w:rPr>
        <w:t>commanding</w:t>
      </w:r>
      <w:r w:rsidRPr="00900101">
        <w:rPr>
          <w:rFonts w:ascii="Times New Roman" w:hAnsi="Times New Roman" w:cs="Times New Roman"/>
          <w:sz w:val="24"/>
          <w:szCs w:val="24"/>
        </w:rPr>
        <w:t xml:space="preserve"> response to suffering is constant and thus uses suffering in the form of calamities to test people.</w:t>
      </w:r>
    </w:p>
    <w:p w:rsidR="006F01EC" w:rsidRPr="00900101" w:rsidRDefault="00B2423E" w:rsidP="006F01EC">
      <w:pPr>
        <w:spacing w:line="480" w:lineRule="auto"/>
        <w:ind w:firstLine="720"/>
        <w:jc w:val="both"/>
        <w:rPr>
          <w:rFonts w:ascii="Times New Roman" w:hAnsi="Times New Roman" w:cs="Times New Roman"/>
          <w:sz w:val="24"/>
          <w:szCs w:val="24"/>
        </w:rPr>
      </w:pPr>
      <w:r w:rsidRPr="00900101">
        <w:rPr>
          <w:rFonts w:ascii="Times New Roman" w:hAnsi="Times New Roman" w:cs="Times New Roman"/>
          <w:sz w:val="24"/>
          <w:szCs w:val="24"/>
        </w:rPr>
        <w:t>Summing up, the different religious families have different perspectives on suffering, death, and the afterlife. Islamic religion teaches that death is not the end of life, and life is divided into two significant parts. One part is life on earth, and another one is eternal, which comes after one dies. Similarly, Christians also believe in life after death. Christians believe in the return of Christ, where God will come to administer the divine judgment with justice and mercy, resulting in eternal damnation and salvation. Muslims and Christians define suffering in different ways, and the</w:t>
      </w:r>
      <w:r w:rsidR="00D43F9E" w:rsidRPr="00900101">
        <w:rPr>
          <w:rFonts w:ascii="Times New Roman" w:hAnsi="Times New Roman" w:cs="Times New Roman"/>
          <w:sz w:val="24"/>
          <w:szCs w:val="24"/>
        </w:rPr>
        <w:t>refore, to indicate that Islamic religion</w:t>
      </w:r>
      <w:r w:rsidRPr="00900101">
        <w:rPr>
          <w:rFonts w:ascii="Times New Roman" w:hAnsi="Times New Roman" w:cs="Times New Roman"/>
          <w:sz w:val="24"/>
          <w:szCs w:val="24"/>
        </w:rPr>
        <w:t xml:space="preserve"> deal with</w:t>
      </w:r>
      <w:r w:rsidR="00D43F9E" w:rsidRPr="00900101">
        <w:rPr>
          <w:rFonts w:ascii="Times New Roman" w:hAnsi="Times New Roman" w:cs="Times New Roman"/>
          <w:sz w:val="24"/>
          <w:szCs w:val="24"/>
        </w:rPr>
        <w:t xml:space="preserve"> issues of</w:t>
      </w:r>
      <w:r w:rsidRPr="00900101">
        <w:rPr>
          <w:rFonts w:ascii="Times New Roman" w:hAnsi="Times New Roman" w:cs="Times New Roman"/>
          <w:sz w:val="24"/>
          <w:szCs w:val="24"/>
        </w:rPr>
        <w:t xml:space="preserve"> suffering in </w:t>
      </w:r>
      <w:r w:rsidR="00D43F9E" w:rsidRPr="00900101">
        <w:rPr>
          <w:rFonts w:ascii="Times New Roman" w:hAnsi="Times New Roman" w:cs="Times New Roman"/>
          <w:sz w:val="24"/>
          <w:szCs w:val="24"/>
        </w:rPr>
        <w:t>expressive</w:t>
      </w:r>
      <w:r w:rsidRPr="00900101">
        <w:rPr>
          <w:rFonts w:ascii="Times New Roman" w:hAnsi="Times New Roman" w:cs="Times New Roman"/>
          <w:sz w:val="24"/>
          <w:szCs w:val="24"/>
        </w:rPr>
        <w:t xml:space="preserve"> ways is generally to invite </w:t>
      </w:r>
      <w:r w:rsidR="00D43F9E" w:rsidRPr="00900101">
        <w:rPr>
          <w:rFonts w:ascii="Times New Roman" w:hAnsi="Times New Roman" w:cs="Times New Roman"/>
          <w:sz w:val="24"/>
          <w:szCs w:val="24"/>
        </w:rPr>
        <w:t>misinterpretation</w:t>
      </w:r>
      <w:r w:rsidRPr="00900101">
        <w:rPr>
          <w:rFonts w:ascii="Times New Roman" w:hAnsi="Times New Roman" w:cs="Times New Roman"/>
          <w:sz w:val="24"/>
          <w:szCs w:val="24"/>
        </w:rPr>
        <w:t>.</w:t>
      </w:r>
    </w:p>
    <w:p w:rsidR="006F01EC" w:rsidRPr="00900101" w:rsidRDefault="00B2423E">
      <w:pPr>
        <w:rPr>
          <w:rFonts w:ascii="Times New Roman" w:hAnsi="Times New Roman" w:cs="Times New Roman"/>
          <w:sz w:val="24"/>
          <w:szCs w:val="24"/>
        </w:rPr>
      </w:pPr>
      <w:r w:rsidRPr="00900101">
        <w:rPr>
          <w:rFonts w:ascii="Times New Roman" w:hAnsi="Times New Roman" w:cs="Times New Roman"/>
          <w:sz w:val="24"/>
          <w:szCs w:val="24"/>
        </w:rPr>
        <w:br w:type="page"/>
      </w:r>
    </w:p>
    <w:p w:rsidR="006F01EC" w:rsidRPr="00900101" w:rsidRDefault="00B2423E" w:rsidP="006F01EC">
      <w:pPr>
        <w:spacing w:line="480" w:lineRule="auto"/>
        <w:jc w:val="center"/>
        <w:rPr>
          <w:rFonts w:ascii="Times New Roman" w:hAnsi="Times New Roman" w:cs="Times New Roman"/>
          <w:b/>
          <w:sz w:val="24"/>
          <w:szCs w:val="24"/>
        </w:rPr>
      </w:pPr>
      <w:r w:rsidRPr="00900101">
        <w:rPr>
          <w:rFonts w:ascii="Times New Roman" w:hAnsi="Times New Roman" w:cs="Times New Roman"/>
          <w:b/>
          <w:sz w:val="24"/>
          <w:szCs w:val="24"/>
        </w:rPr>
        <w:lastRenderedPageBreak/>
        <w:t>References</w:t>
      </w:r>
    </w:p>
    <w:p w:rsidR="00C042DC" w:rsidRPr="00900101" w:rsidRDefault="00B2423E" w:rsidP="00900101">
      <w:pPr>
        <w:spacing w:line="480" w:lineRule="auto"/>
        <w:ind w:left="720" w:hanging="720"/>
        <w:rPr>
          <w:rFonts w:ascii="Times New Roman" w:hAnsi="Times New Roman" w:cs="Times New Roman"/>
          <w:sz w:val="24"/>
          <w:szCs w:val="24"/>
        </w:rPr>
      </w:pPr>
      <w:proofErr w:type="spellStart"/>
      <w:r w:rsidRPr="00900101">
        <w:rPr>
          <w:rFonts w:ascii="Times New Roman" w:hAnsi="Times New Roman" w:cs="Times New Roman"/>
          <w:color w:val="303030"/>
          <w:sz w:val="24"/>
          <w:szCs w:val="24"/>
          <w:shd w:val="clear" w:color="auto" w:fill="FFFFFF"/>
        </w:rPr>
        <w:t>Choudry</w:t>
      </w:r>
      <w:proofErr w:type="spellEnd"/>
      <w:r w:rsidRPr="00900101">
        <w:rPr>
          <w:rFonts w:ascii="Times New Roman" w:hAnsi="Times New Roman" w:cs="Times New Roman"/>
          <w:color w:val="303030"/>
          <w:sz w:val="24"/>
          <w:szCs w:val="24"/>
          <w:shd w:val="clear" w:color="auto" w:fill="FFFFFF"/>
        </w:rPr>
        <w:t>, M., Latif, A., &amp; Warburton, K. G. (2018). An overview of the spiritual importance of end-of-life care among the five major faiths of the United Kingdom. </w:t>
      </w:r>
      <w:r w:rsidRPr="00900101">
        <w:rPr>
          <w:rFonts w:ascii="Times New Roman" w:hAnsi="Times New Roman" w:cs="Times New Roman"/>
          <w:i/>
          <w:iCs/>
          <w:color w:val="303030"/>
          <w:sz w:val="24"/>
          <w:szCs w:val="24"/>
          <w:shd w:val="clear" w:color="auto" w:fill="FFFFFF"/>
        </w:rPr>
        <w:t>Clinical medicine (London, England)</w:t>
      </w:r>
      <w:r w:rsidRPr="00900101">
        <w:rPr>
          <w:rFonts w:ascii="Times New Roman" w:hAnsi="Times New Roman" w:cs="Times New Roman"/>
          <w:color w:val="303030"/>
          <w:sz w:val="24"/>
          <w:szCs w:val="24"/>
          <w:shd w:val="clear" w:color="auto" w:fill="FFFFFF"/>
        </w:rPr>
        <w:t>, </w:t>
      </w:r>
      <w:r w:rsidRPr="00900101">
        <w:rPr>
          <w:rFonts w:ascii="Times New Roman" w:hAnsi="Times New Roman" w:cs="Times New Roman"/>
          <w:i/>
          <w:iCs/>
          <w:color w:val="303030"/>
          <w:sz w:val="24"/>
          <w:szCs w:val="24"/>
          <w:shd w:val="clear" w:color="auto" w:fill="FFFFFF"/>
        </w:rPr>
        <w:t>18</w:t>
      </w:r>
      <w:r w:rsidRPr="00900101">
        <w:rPr>
          <w:rFonts w:ascii="Times New Roman" w:hAnsi="Times New Roman" w:cs="Times New Roman"/>
          <w:color w:val="303030"/>
          <w:sz w:val="24"/>
          <w:szCs w:val="24"/>
          <w:shd w:val="clear" w:color="auto" w:fill="FFFFFF"/>
        </w:rPr>
        <w:t>(1), 23–31</w:t>
      </w:r>
      <w:r w:rsidR="00900101" w:rsidRPr="00900101">
        <w:rPr>
          <w:rFonts w:ascii="Times New Roman" w:hAnsi="Times New Roman" w:cs="Times New Roman"/>
          <w:color w:val="303030"/>
          <w:sz w:val="24"/>
          <w:szCs w:val="24"/>
          <w:shd w:val="clear" w:color="auto" w:fill="FFFFFF"/>
        </w:rPr>
        <w:t xml:space="preserve">. </w:t>
      </w:r>
      <w:r w:rsidR="00900101" w:rsidRPr="00900101">
        <w:rPr>
          <w:rFonts w:ascii="Times New Roman" w:hAnsi="Times New Roman" w:cs="Times New Roman"/>
          <w:color w:val="000000"/>
          <w:sz w:val="24"/>
          <w:szCs w:val="24"/>
          <w:shd w:val="clear" w:color="auto" w:fill="FFFFFF"/>
        </w:rPr>
        <w:t>DOI</w:t>
      </w:r>
      <w:r w:rsidR="00900101" w:rsidRPr="00900101">
        <w:rPr>
          <w:rFonts w:ascii="Times New Roman" w:hAnsi="Times New Roman" w:cs="Times New Roman"/>
          <w:color w:val="000000"/>
          <w:sz w:val="24"/>
          <w:szCs w:val="24"/>
          <w:shd w:val="clear" w:color="auto" w:fill="FFFFFF"/>
        </w:rPr>
        <w:t>: </w:t>
      </w:r>
      <w:hyperlink r:id="rId6" w:tgtFrame="_blank" w:history="1">
        <w:r w:rsidR="00900101" w:rsidRPr="00900101">
          <w:rPr>
            <w:rStyle w:val="Hyperlink"/>
            <w:rFonts w:ascii="Times New Roman" w:hAnsi="Times New Roman" w:cs="Times New Roman"/>
            <w:color w:val="2F4A8B"/>
            <w:sz w:val="24"/>
            <w:szCs w:val="24"/>
            <w:shd w:val="clear" w:color="auto" w:fill="FFFFFF"/>
          </w:rPr>
          <w:t>10.7861/clinmedicine.18-1-23</w:t>
        </w:r>
      </w:hyperlink>
      <w:r w:rsidR="00900101" w:rsidRPr="00900101">
        <w:rPr>
          <w:rFonts w:ascii="Times New Roman" w:hAnsi="Times New Roman" w:cs="Times New Roman"/>
          <w:sz w:val="24"/>
          <w:szCs w:val="24"/>
        </w:rPr>
        <w:t xml:space="preserve"> </w:t>
      </w:r>
    </w:p>
    <w:p w:rsidR="006F01EC" w:rsidRPr="00900101" w:rsidRDefault="00B2423E" w:rsidP="000D0D97">
      <w:pPr>
        <w:spacing w:line="480" w:lineRule="auto"/>
        <w:ind w:left="720" w:hanging="720"/>
        <w:rPr>
          <w:rFonts w:ascii="Times New Roman" w:hAnsi="Times New Roman" w:cs="Times New Roman"/>
          <w:sz w:val="24"/>
          <w:szCs w:val="24"/>
        </w:rPr>
      </w:pPr>
      <w:proofErr w:type="spellStart"/>
      <w:r w:rsidRPr="00900101">
        <w:rPr>
          <w:rFonts w:ascii="Times New Roman" w:hAnsi="Times New Roman" w:cs="Times New Roman"/>
          <w:color w:val="222222"/>
          <w:sz w:val="24"/>
          <w:szCs w:val="24"/>
          <w:shd w:val="clear" w:color="auto" w:fill="FFFFFF"/>
        </w:rPr>
        <w:t>Elaskary</w:t>
      </w:r>
      <w:proofErr w:type="spellEnd"/>
      <w:r w:rsidRPr="00900101">
        <w:rPr>
          <w:rFonts w:ascii="Times New Roman" w:hAnsi="Times New Roman" w:cs="Times New Roman"/>
          <w:color w:val="222222"/>
          <w:sz w:val="24"/>
          <w:szCs w:val="24"/>
          <w:shd w:val="clear" w:color="auto" w:fill="FFFFFF"/>
        </w:rPr>
        <w:t>, M., &amp; Yun, E. K. (2017). Death, resurrection, and shrine visitations: An Islamic perspective. </w:t>
      </w:r>
      <w:r w:rsidRPr="00900101">
        <w:rPr>
          <w:rFonts w:ascii="Times New Roman" w:hAnsi="Times New Roman" w:cs="Times New Roman"/>
          <w:i/>
          <w:iCs/>
          <w:color w:val="222222"/>
          <w:sz w:val="24"/>
          <w:szCs w:val="24"/>
          <w:shd w:val="clear" w:color="auto" w:fill="FFFFFF"/>
        </w:rPr>
        <w:t>Religions</w:t>
      </w:r>
      <w:r w:rsidRPr="00900101">
        <w:rPr>
          <w:rFonts w:ascii="Times New Roman" w:hAnsi="Times New Roman" w:cs="Times New Roman"/>
          <w:color w:val="222222"/>
          <w:sz w:val="24"/>
          <w:szCs w:val="24"/>
          <w:shd w:val="clear" w:color="auto" w:fill="FFFFFF"/>
        </w:rPr>
        <w:t>, </w:t>
      </w:r>
      <w:r w:rsidRPr="00900101">
        <w:rPr>
          <w:rFonts w:ascii="Times New Roman" w:hAnsi="Times New Roman" w:cs="Times New Roman"/>
          <w:i/>
          <w:iCs/>
          <w:color w:val="222222"/>
          <w:sz w:val="24"/>
          <w:szCs w:val="24"/>
          <w:shd w:val="clear" w:color="auto" w:fill="FFFFFF"/>
        </w:rPr>
        <w:t>8</w:t>
      </w:r>
      <w:r w:rsidRPr="00900101">
        <w:rPr>
          <w:rFonts w:ascii="Times New Roman" w:hAnsi="Times New Roman" w:cs="Times New Roman"/>
          <w:color w:val="222222"/>
          <w:sz w:val="24"/>
          <w:szCs w:val="24"/>
          <w:shd w:val="clear" w:color="auto" w:fill="FFFFFF"/>
        </w:rPr>
        <w:t>(3), 34.</w:t>
      </w:r>
      <w:r w:rsidR="00900101">
        <w:rPr>
          <w:rFonts w:ascii="Times New Roman" w:hAnsi="Times New Roman" w:cs="Times New Roman"/>
          <w:color w:val="222222"/>
          <w:sz w:val="24"/>
          <w:szCs w:val="24"/>
          <w:shd w:val="clear" w:color="auto" w:fill="FFFFFF"/>
        </w:rPr>
        <w:t xml:space="preserve"> </w:t>
      </w:r>
      <w:r w:rsidR="00900101" w:rsidRPr="00900101">
        <w:rPr>
          <w:rFonts w:ascii="Times New Roman" w:hAnsi="Times New Roman" w:cs="Times New Roman"/>
          <w:color w:val="222222"/>
          <w:sz w:val="24"/>
          <w:szCs w:val="24"/>
        </w:rPr>
        <w:t xml:space="preserve">DOI: </w:t>
      </w:r>
      <w:hyperlink r:id="rId7" w:history="1">
        <w:r w:rsidR="00900101" w:rsidRPr="00900101">
          <w:rPr>
            <w:rStyle w:val="Hyperlink"/>
            <w:rFonts w:ascii="Times New Roman" w:hAnsi="Times New Roman" w:cs="Times New Roman"/>
            <w:sz w:val="24"/>
            <w:szCs w:val="24"/>
          </w:rPr>
          <w:t>10.3390/rel8030034</w:t>
        </w:r>
      </w:hyperlink>
      <w:r w:rsidR="00900101" w:rsidRPr="00900101">
        <w:rPr>
          <w:rFonts w:ascii="Times New Roman" w:hAnsi="Times New Roman" w:cs="Times New Roman"/>
          <w:color w:val="222222"/>
          <w:sz w:val="24"/>
          <w:szCs w:val="24"/>
        </w:rPr>
        <w:t> </w:t>
      </w:r>
    </w:p>
    <w:p w:rsidR="006F01EC" w:rsidRPr="00900101" w:rsidRDefault="00B2423E" w:rsidP="00900101">
      <w:pPr>
        <w:spacing w:line="480" w:lineRule="auto"/>
        <w:ind w:left="720" w:hanging="720"/>
        <w:rPr>
          <w:rFonts w:ascii="Times New Roman" w:hAnsi="Times New Roman" w:cs="Times New Roman"/>
          <w:color w:val="222222"/>
          <w:sz w:val="24"/>
          <w:szCs w:val="24"/>
          <w:shd w:val="clear" w:color="auto" w:fill="FFFFFF"/>
        </w:rPr>
      </w:pPr>
      <w:r w:rsidRPr="00900101">
        <w:rPr>
          <w:rFonts w:ascii="Times New Roman" w:hAnsi="Times New Roman" w:cs="Times New Roman"/>
          <w:color w:val="222222"/>
          <w:sz w:val="24"/>
          <w:szCs w:val="24"/>
          <w:shd w:val="clear" w:color="auto" w:fill="FFFFFF"/>
        </w:rPr>
        <w:t>Zak, J. M. (2017). The Great Misread: Life and Death in Islam and Its Relation to the West.</w:t>
      </w:r>
      <w:r w:rsidR="00900101" w:rsidRPr="00900101">
        <w:rPr>
          <w:rFonts w:ascii="Times New Roman" w:hAnsi="Times New Roman" w:cs="Times New Roman"/>
          <w:color w:val="222222"/>
          <w:sz w:val="24"/>
          <w:szCs w:val="24"/>
          <w:shd w:val="clear" w:color="auto" w:fill="FFFFFF"/>
        </w:rPr>
        <w:t xml:space="preserve"> </w:t>
      </w:r>
      <w:hyperlink r:id="rId8" w:history="1">
        <w:r w:rsidR="00900101" w:rsidRPr="00900101">
          <w:rPr>
            <w:rStyle w:val="Hyperlink"/>
            <w:rFonts w:ascii="Times New Roman" w:hAnsi="Times New Roman" w:cs="Times New Roman"/>
            <w:sz w:val="24"/>
            <w:szCs w:val="24"/>
            <w:shd w:val="clear" w:color="auto" w:fill="FFFFFF"/>
          </w:rPr>
          <w:t>https://cupola.gettysburg.edu/cgi/viewcontent.cgi?article=1653&amp;context=student_scholarship</w:t>
        </w:r>
      </w:hyperlink>
    </w:p>
    <w:p w:rsidR="00900101" w:rsidRPr="00900101" w:rsidRDefault="00900101" w:rsidP="006F01EC">
      <w:pPr>
        <w:spacing w:line="480" w:lineRule="auto"/>
        <w:ind w:left="720" w:hanging="720"/>
        <w:rPr>
          <w:rFonts w:ascii="Times New Roman" w:hAnsi="Times New Roman" w:cs="Times New Roman"/>
          <w:color w:val="222222"/>
          <w:sz w:val="24"/>
          <w:szCs w:val="24"/>
          <w:shd w:val="clear" w:color="auto" w:fill="FFFFFF"/>
        </w:rPr>
      </w:pPr>
      <w:bookmarkStart w:id="0" w:name="_GoBack"/>
      <w:bookmarkEnd w:id="0"/>
    </w:p>
    <w:sectPr w:rsidR="00900101" w:rsidRPr="0090010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166" w:rsidRDefault="006A0166">
      <w:pPr>
        <w:spacing w:after="0" w:line="240" w:lineRule="auto"/>
      </w:pPr>
      <w:r>
        <w:separator/>
      </w:r>
    </w:p>
  </w:endnote>
  <w:endnote w:type="continuationSeparator" w:id="0">
    <w:p w:rsidR="006A0166" w:rsidRDefault="006A0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166" w:rsidRDefault="006A0166">
      <w:pPr>
        <w:spacing w:after="0" w:line="240" w:lineRule="auto"/>
      </w:pPr>
      <w:r>
        <w:separator/>
      </w:r>
    </w:p>
  </w:footnote>
  <w:footnote w:type="continuationSeparator" w:id="0">
    <w:p w:rsidR="006A0166" w:rsidRDefault="006A0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82406859"/>
      <w:docPartObj>
        <w:docPartGallery w:val="Page Numbers (Top of Page)"/>
        <w:docPartUnique/>
      </w:docPartObj>
    </w:sdtPr>
    <w:sdtEndPr>
      <w:rPr>
        <w:noProof/>
      </w:rPr>
    </w:sdtEndPr>
    <w:sdtContent>
      <w:p w:rsidR="006F01EC" w:rsidRPr="00AB5376" w:rsidRDefault="00B2423E">
        <w:pPr>
          <w:pStyle w:val="Header"/>
          <w:jc w:val="right"/>
          <w:rPr>
            <w:rFonts w:ascii="Times New Roman" w:hAnsi="Times New Roman" w:cs="Times New Roman"/>
            <w:sz w:val="24"/>
            <w:szCs w:val="24"/>
          </w:rPr>
        </w:pPr>
        <w:r w:rsidRPr="00AB5376">
          <w:rPr>
            <w:rFonts w:ascii="Times New Roman" w:hAnsi="Times New Roman" w:cs="Times New Roman"/>
            <w:sz w:val="24"/>
            <w:szCs w:val="24"/>
          </w:rPr>
          <w:fldChar w:fldCharType="begin"/>
        </w:r>
        <w:r w:rsidRPr="00AB5376">
          <w:rPr>
            <w:rFonts w:ascii="Times New Roman" w:hAnsi="Times New Roman" w:cs="Times New Roman"/>
            <w:sz w:val="24"/>
            <w:szCs w:val="24"/>
          </w:rPr>
          <w:instrText xml:space="preserve"> PAGE   \* MERGEFORMAT </w:instrText>
        </w:r>
        <w:r w:rsidRPr="00AB5376">
          <w:rPr>
            <w:rFonts w:ascii="Times New Roman" w:hAnsi="Times New Roman" w:cs="Times New Roman"/>
            <w:sz w:val="24"/>
            <w:szCs w:val="24"/>
          </w:rPr>
          <w:fldChar w:fldCharType="separate"/>
        </w:r>
        <w:r w:rsidR="000D0D97">
          <w:rPr>
            <w:rFonts w:ascii="Times New Roman" w:hAnsi="Times New Roman" w:cs="Times New Roman"/>
            <w:noProof/>
            <w:sz w:val="24"/>
            <w:szCs w:val="24"/>
          </w:rPr>
          <w:t>4</w:t>
        </w:r>
        <w:r w:rsidRPr="00AB5376">
          <w:rPr>
            <w:rFonts w:ascii="Times New Roman" w:hAnsi="Times New Roman" w:cs="Times New Roman"/>
            <w:noProof/>
            <w:sz w:val="24"/>
            <w:szCs w:val="24"/>
          </w:rPr>
          <w:fldChar w:fldCharType="end"/>
        </w:r>
      </w:p>
    </w:sdtContent>
  </w:sdt>
  <w:p w:rsidR="006F01EC" w:rsidRDefault="006F01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EC"/>
    <w:rsid w:val="000214E6"/>
    <w:rsid w:val="000D0D97"/>
    <w:rsid w:val="00162332"/>
    <w:rsid w:val="001E23A6"/>
    <w:rsid w:val="0021549B"/>
    <w:rsid w:val="00330894"/>
    <w:rsid w:val="00346B96"/>
    <w:rsid w:val="0036035C"/>
    <w:rsid w:val="00363E64"/>
    <w:rsid w:val="003F2AFD"/>
    <w:rsid w:val="004059ED"/>
    <w:rsid w:val="00444D2B"/>
    <w:rsid w:val="00583599"/>
    <w:rsid w:val="005F1569"/>
    <w:rsid w:val="005F3E5B"/>
    <w:rsid w:val="006A0166"/>
    <w:rsid w:val="006F01EC"/>
    <w:rsid w:val="007C43DF"/>
    <w:rsid w:val="00900101"/>
    <w:rsid w:val="00A616B7"/>
    <w:rsid w:val="00AB5376"/>
    <w:rsid w:val="00B2423E"/>
    <w:rsid w:val="00C042DC"/>
    <w:rsid w:val="00C51B46"/>
    <w:rsid w:val="00C94590"/>
    <w:rsid w:val="00CE57AA"/>
    <w:rsid w:val="00D43F9E"/>
    <w:rsid w:val="00E472F4"/>
    <w:rsid w:val="00EE0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B21E"/>
  <w15:chartTrackingRefBased/>
  <w15:docId w15:val="{9BC8BD6A-043C-4F51-8022-1925F83B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1EC"/>
  </w:style>
  <w:style w:type="paragraph" w:styleId="Footer">
    <w:name w:val="footer"/>
    <w:basedOn w:val="Normal"/>
    <w:link w:val="FooterChar"/>
    <w:uiPriority w:val="99"/>
    <w:unhideWhenUsed/>
    <w:rsid w:val="006F0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1EC"/>
  </w:style>
  <w:style w:type="character" w:styleId="Hyperlink">
    <w:name w:val="Hyperlink"/>
    <w:basedOn w:val="DefaultParagraphFont"/>
    <w:uiPriority w:val="99"/>
    <w:unhideWhenUsed/>
    <w:rsid w:val="006F01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09399">
      <w:bodyDiv w:val="1"/>
      <w:marLeft w:val="0"/>
      <w:marRight w:val="0"/>
      <w:marTop w:val="0"/>
      <w:marBottom w:val="0"/>
      <w:divBdr>
        <w:top w:val="none" w:sz="0" w:space="0" w:color="auto"/>
        <w:left w:val="none" w:sz="0" w:space="0" w:color="auto"/>
        <w:bottom w:val="none" w:sz="0" w:space="0" w:color="auto"/>
        <w:right w:val="none" w:sz="0" w:space="0" w:color="auto"/>
      </w:divBdr>
      <w:divsChild>
        <w:div w:id="1807048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pola.gettysburg.edu/cgi/viewcontent.cgi?article=1653&amp;context=student_scholarship" TargetMode="External"/><Relationship Id="rId3" Type="http://schemas.openxmlformats.org/officeDocument/2006/relationships/webSettings" Target="webSettings.xml"/><Relationship Id="rId7" Type="http://schemas.openxmlformats.org/officeDocument/2006/relationships/hyperlink" Target="https://www.mdpi.com/2077-1444/8/3/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7861%2Fclinmedicine.18-1-2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13</cp:revision>
  <dcterms:created xsi:type="dcterms:W3CDTF">2021-08-07T20:03:00Z</dcterms:created>
  <dcterms:modified xsi:type="dcterms:W3CDTF">2021-08-07T20:10:00Z</dcterms:modified>
</cp:coreProperties>
</file>